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rFonts w:hint="default"/>
          <w:b/>
          <w:bCs/>
          <w:sz w:val="32"/>
          <w:szCs w:val="40"/>
          <w:lang w:val="en-US" w:eastAsia="zh-CN"/>
        </w:rPr>
      </w:pPr>
      <w:r>
        <w:rPr>
          <w:rFonts w:hint="eastAsia"/>
          <w:b/>
          <w:bCs/>
          <w:sz w:val="32"/>
          <w:szCs w:val="40"/>
          <w:lang w:val="en-US" w:eastAsia="zh-CN"/>
        </w:rPr>
        <w:t>会员服务</w:t>
      </w:r>
    </w:p>
    <w:p>
      <w:pPr>
        <w:rPr>
          <w:rFonts w:hint="eastAsia"/>
          <w:lang w:val="en-US" w:eastAsia="zh-CN"/>
        </w:rPr>
      </w:pPr>
    </w:p>
    <w:p>
      <w:pPr>
        <w:numPr>
          <w:ilvl w:val="0"/>
          <w:numId w:val="1"/>
        </w:numPr>
        <w:rPr>
          <w:rFonts w:hint="eastAsia"/>
          <w:lang w:val="en-US" w:eastAsia="zh-CN"/>
        </w:rPr>
      </w:pPr>
      <w:r>
        <w:rPr>
          <w:rFonts w:hint="eastAsia"/>
          <w:lang w:val="en-US" w:eastAsia="zh-CN"/>
        </w:rPr>
        <w:t>培训服务http://www.ctm.org.cn/site/term/31.html</w:t>
      </w:r>
    </w:p>
    <w:p>
      <w:pPr>
        <w:numPr>
          <w:ilvl w:val="0"/>
          <w:numId w:val="0"/>
        </w:numPr>
        <w:rPr>
          <w:rFonts w:hint="default"/>
          <w:lang w:val="en-US" w:eastAsia="zh-CN"/>
        </w:rPr>
      </w:pPr>
    </w:p>
    <w:p>
      <w:pPr>
        <w:numPr>
          <w:ilvl w:val="0"/>
          <w:numId w:val="2"/>
        </w:numPr>
        <w:rPr>
          <w:rFonts w:hint="default"/>
          <w:lang w:val="en-US" w:eastAsia="zh-CN"/>
        </w:rPr>
      </w:pPr>
      <w:r>
        <w:rPr>
          <w:rFonts w:hint="eastAsia"/>
          <w:lang w:val="en-US" w:eastAsia="zh-CN"/>
        </w:rPr>
        <w:t>通知公告</w:t>
      </w:r>
    </w:p>
    <w:p>
      <w:pPr>
        <w:numPr>
          <w:ilvl w:val="0"/>
          <w:numId w:val="3"/>
        </w:numPr>
        <w:rPr>
          <w:rFonts w:hint="eastAsia"/>
          <w:lang w:val="en-US" w:eastAsia="zh-CN"/>
        </w:rPr>
      </w:pPr>
      <w:r>
        <w:rPr>
          <w:rFonts w:hint="eastAsia"/>
          <w:lang w:val="en-US" w:eastAsia="zh-CN"/>
        </w:rPr>
        <w:t>关于举办2021年临沂市职业技术经理人培训班的通知</w:t>
      </w:r>
    </w:p>
    <w:p>
      <w:pPr>
        <w:numPr>
          <w:ilvl w:val="0"/>
          <w:numId w:val="0"/>
        </w:numPr>
        <w:rPr>
          <w:rFonts w:hint="default"/>
          <w:lang w:val="en-US" w:eastAsia="zh-CN"/>
        </w:rPr>
      </w:pPr>
      <w:r>
        <w:rPr>
          <w:rFonts w:hint="eastAsia"/>
          <w:lang w:val="en-US" w:eastAsia="zh-CN"/>
        </w:rPr>
        <w:t>2.政策法规</w:t>
      </w:r>
    </w:p>
    <w:p>
      <w:pPr>
        <w:numPr>
          <w:ilvl w:val="0"/>
          <w:numId w:val="0"/>
        </w:numPr>
        <w:rPr>
          <w:rFonts w:hint="default"/>
          <w:lang w:val="en-US" w:eastAsia="zh-CN"/>
        </w:rPr>
      </w:pPr>
      <w:r>
        <w:rPr>
          <w:rFonts w:hint="eastAsia"/>
          <w:lang w:val="en-US" w:eastAsia="zh-CN"/>
        </w:rPr>
        <w:t>3.培训风采展示</w:t>
      </w:r>
    </w:p>
    <w:p>
      <w:pPr>
        <w:numPr>
          <w:ilvl w:val="0"/>
          <w:numId w:val="0"/>
        </w:numPr>
        <w:rPr>
          <w:rFonts w:hint="default"/>
          <w:lang w:val="en-US" w:eastAsia="zh-CN"/>
        </w:rPr>
      </w:pPr>
      <w:r>
        <w:rPr>
          <w:rFonts w:hint="eastAsia"/>
          <w:lang w:val="en-US" w:eastAsia="zh-CN"/>
        </w:rPr>
        <w:t>（1）</w:t>
      </w:r>
      <w:r>
        <w:rPr>
          <w:rFonts w:ascii="Arial" w:hAnsi="Arial" w:eastAsia="宋体" w:cs="Arial"/>
          <w:b w:val="0"/>
          <w:bCs/>
          <w:i w:val="0"/>
          <w:caps w:val="0"/>
          <w:color w:val="000000"/>
          <w:spacing w:val="0"/>
          <w:sz w:val="24"/>
          <w:szCs w:val="24"/>
          <w:shd w:val="clear" w:fill="FFFFFF"/>
        </w:rPr>
        <w:t>20</w:t>
      </w:r>
      <w:r>
        <w:rPr>
          <w:rFonts w:hint="eastAsia" w:ascii="Arial" w:hAnsi="Arial" w:eastAsia="宋体" w:cs="Arial"/>
          <w:b w:val="0"/>
          <w:bCs/>
          <w:i w:val="0"/>
          <w:caps w:val="0"/>
          <w:color w:val="000000"/>
          <w:spacing w:val="0"/>
          <w:sz w:val="24"/>
          <w:szCs w:val="24"/>
          <w:shd w:val="clear" w:fill="FFFFFF"/>
          <w:lang w:val="en-US" w:eastAsia="zh-CN"/>
        </w:rPr>
        <w:t>21</w:t>
      </w:r>
      <w:r>
        <w:rPr>
          <w:rFonts w:ascii="Arial" w:hAnsi="Arial" w:eastAsia="宋体" w:cs="Arial"/>
          <w:b w:val="0"/>
          <w:bCs/>
          <w:i w:val="0"/>
          <w:caps w:val="0"/>
          <w:color w:val="000000"/>
          <w:spacing w:val="0"/>
          <w:sz w:val="24"/>
          <w:szCs w:val="24"/>
          <w:shd w:val="clear" w:fill="FFFFFF"/>
        </w:rPr>
        <w:t>年</w:t>
      </w:r>
      <w:r>
        <w:rPr>
          <w:rFonts w:hint="eastAsia" w:ascii="Arial" w:hAnsi="Arial" w:eastAsia="宋体" w:cs="Arial"/>
          <w:b w:val="0"/>
          <w:bCs/>
          <w:i w:val="0"/>
          <w:caps w:val="0"/>
          <w:color w:val="000000"/>
          <w:spacing w:val="0"/>
          <w:sz w:val="24"/>
          <w:szCs w:val="24"/>
          <w:shd w:val="clear" w:fill="FFFFFF"/>
          <w:lang w:val="en-US" w:eastAsia="zh-CN"/>
        </w:rPr>
        <w:t>临沂</w:t>
      </w:r>
      <w:r>
        <w:rPr>
          <w:rFonts w:ascii="Arial" w:hAnsi="Arial" w:eastAsia="宋体" w:cs="Arial"/>
          <w:b w:val="0"/>
          <w:bCs/>
          <w:i w:val="0"/>
          <w:caps w:val="0"/>
          <w:color w:val="000000"/>
          <w:spacing w:val="0"/>
          <w:sz w:val="24"/>
          <w:szCs w:val="24"/>
          <w:shd w:val="clear" w:fill="FFFFFF"/>
        </w:rPr>
        <w:t>地区技术经纪人（技术经理人）培训火热开班</w:t>
      </w:r>
      <w:r>
        <w:rPr>
          <w:rFonts w:hint="eastAsia"/>
          <w:lang w:val="en-US" w:eastAsia="zh-CN"/>
        </w:rPr>
        <w:t xml:space="preserve">   </w:t>
      </w:r>
    </w:p>
    <w:p>
      <w:pPr>
        <w:numPr>
          <w:ilvl w:val="0"/>
          <w:numId w:val="0"/>
        </w:numPr>
        <w:rPr>
          <w:rFonts w:hint="eastAsia"/>
          <w:b/>
          <w:bCs/>
          <w:lang w:val="en-US" w:eastAsia="zh-CN"/>
        </w:rPr>
      </w:pPr>
      <w:r>
        <w:rPr>
          <w:rFonts w:hint="eastAsia"/>
          <w:lang w:val="en-US" w:eastAsia="zh-CN"/>
        </w:rPr>
        <w:t xml:space="preserve">   </w:t>
      </w:r>
      <w:r>
        <w:drawing>
          <wp:inline distT="0" distB="0" distL="114300" distR="114300">
            <wp:extent cx="5266055" cy="1123315"/>
            <wp:effectExtent l="0" t="0" r="10795"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
                    <a:stretch>
                      <a:fillRect/>
                    </a:stretch>
                  </pic:blipFill>
                  <pic:spPr>
                    <a:xfrm>
                      <a:off x="0" y="0"/>
                      <a:ext cx="5266055" cy="1123315"/>
                    </a:xfrm>
                    <a:prstGeom prst="rect">
                      <a:avLst/>
                    </a:prstGeom>
                    <a:noFill/>
                    <a:ln>
                      <a:noFill/>
                    </a:ln>
                  </pic:spPr>
                </pic:pic>
              </a:graphicData>
            </a:graphic>
          </wp:inline>
        </w:drawing>
      </w:r>
    </w:p>
    <w:p>
      <w:pPr>
        <w:numPr>
          <w:ilvl w:val="0"/>
          <w:numId w:val="1"/>
        </w:numPr>
        <w:ind w:left="0" w:leftChars="0" w:firstLine="0" w:firstLineChars="0"/>
        <w:rPr>
          <w:rFonts w:hint="default"/>
          <w:lang w:val="en-US" w:eastAsia="zh-CN"/>
        </w:rPr>
      </w:pPr>
      <w:r>
        <w:rPr>
          <w:rFonts w:hint="eastAsia"/>
          <w:lang w:val="en-US" w:eastAsia="zh-CN"/>
        </w:rPr>
        <w:t>组织活动</w:t>
      </w:r>
    </w:p>
    <w:p>
      <w:pPr>
        <w:numPr>
          <w:ilvl w:val="0"/>
          <w:numId w:val="0"/>
        </w:numPr>
        <w:ind w:leftChars="0"/>
        <w:rPr>
          <w:rFonts w:hint="eastAsia"/>
          <w:lang w:val="en-US" w:eastAsia="zh-CN"/>
        </w:rPr>
      </w:pPr>
      <w:r>
        <w:rPr>
          <w:rFonts w:hint="eastAsia"/>
          <w:lang w:val="en-US" w:eastAsia="zh-CN"/>
        </w:rPr>
        <w:t xml:space="preserve">  通知公告</w:t>
      </w:r>
    </w:p>
    <w:p>
      <w:pPr>
        <w:numPr>
          <w:ilvl w:val="0"/>
          <w:numId w:val="0"/>
        </w:numPr>
        <w:ind w:leftChars="0" w:firstLine="210" w:firstLineChars="100"/>
        <w:rPr>
          <w:rFonts w:hint="eastAsia"/>
          <w:lang w:val="en-US" w:eastAsia="zh-CN"/>
        </w:rPr>
      </w:pPr>
      <w:r>
        <w:rPr>
          <w:rFonts w:hint="eastAsia"/>
          <w:lang w:val="en-US" w:eastAsia="zh-CN"/>
        </w:rPr>
        <w:t xml:space="preserve">活动风采展示  </w:t>
      </w:r>
    </w:p>
    <w:p>
      <w:pPr>
        <w:numPr>
          <w:ilvl w:val="0"/>
          <w:numId w:val="0"/>
        </w:numPr>
        <w:ind w:leftChars="0" w:firstLine="210" w:firstLineChars="100"/>
        <w:rPr>
          <w:rFonts w:hint="default"/>
          <w:lang w:val="en-US" w:eastAsia="zh-CN"/>
        </w:rPr>
      </w:pPr>
    </w:p>
    <w:p>
      <w:pPr>
        <w:numPr>
          <w:ilvl w:val="0"/>
          <w:numId w:val="0"/>
        </w:numPr>
        <w:jc w:val="both"/>
        <w:rPr>
          <w:rFonts w:hint="eastAsia"/>
          <w:lang w:val="en-US" w:eastAsia="zh-CN"/>
        </w:rPr>
      </w:pPr>
      <w:r>
        <w:rPr>
          <w:rFonts w:hint="eastAsia"/>
          <w:lang w:val="en-US" w:eastAsia="zh-CN"/>
        </w:rPr>
        <w:t>三 、会员企业展示</w:t>
      </w:r>
    </w:p>
    <w:p>
      <w:pPr>
        <w:numPr>
          <w:ilvl w:val="0"/>
          <w:numId w:val="4"/>
        </w:numPr>
        <w:ind w:left="420" w:leftChars="0" w:firstLine="0" w:firstLineChars="0"/>
        <w:jc w:val="both"/>
        <w:rPr>
          <w:rFonts w:hint="eastAsia"/>
          <w:lang w:val="en-US" w:eastAsia="zh-CN"/>
        </w:rPr>
      </w:pPr>
      <w:r>
        <w:rPr>
          <w:rFonts w:hint="eastAsia"/>
          <w:lang w:val="en-US" w:eastAsia="zh-CN"/>
        </w:rPr>
        <w:t>通知公告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caps w:val="0"/>
          <w:color w:val="333333"/>
          <w:spacing w:val="0"/>
          <w:sz w:val="21"/>
          <w:szCs w:val="21"/>
        </w:rPr>
      </w:pPr>
      <w:r>
        <w:rPr>
          <w:rStyle w:val="6"/>
          <w:rFonts w:hint="eastAsia" w:ascii="宋体" w:hAnsi="宋体" w:eastAsia="宋体" w:cs="宋体"/>
          <w:i w:val="0"/>
          <w:caps w:val="0"/>
          <w:color w:val="333333"/>
          <w:spacing w:val="0"/>
          <w:sz w:val="22"/>
          <w:szCs w:val="22"/>
          <w:shd w:val="clear" w:fill="FFFFFF"/>
        </w:rPr>
        <w:t>关于征集“优秀会员企业风采展示”栏目内容的通知</w:t>
      </w:r>
    </w:p>
    <w:p>
      <w:pPr>
        <w:numPr>
          <w:ilvl w:val="0"/>
          <w:numId w:val="0"/>
        </w:numPr>
        <w:jc w:val="both"/>
        <w:rPr>
          <w:rFonts w:hint="default"/>
          <w:lang w:val="en-US" w:eastAsia="zh-CN"/>
        </w:rPr>
      </w:pPr>
    </w:p>
    <w:p>
      <w:pPr>
        <w:numPr>
          <w:ilvl w:val="0"/>
          <w:numId w:val="5"/>
        </w:numPr>
        <w:ind w:left="420" w:leftChars="0" w:firstLine="0" w:firstLineChars="0"/>
        <w:jc w:val="both"/>
        <w:rPr>
          <w:rFonts w:hint="eastAsia"/>
          <w:lang w:val="en-US" w:eastAsia="zh-CN"/>
        </w:rPr>
      </w:pPr>
      <w:r>
        <w:rPr>
          <w:rFonts w:hint="eastAsia"/>
          <w:lang w:val="en-US" w:eastAsia="zh-CN"/>
        </w:rPr>
        <w:t>企业展示（ 图片、文字、视频等方式）</w:t>
      </w:r>
    </w:p>
    <w:p>
      <w:pPr>
        <w:pStyle w:val="2"/>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rPr>
          <w:rFonts w:hint="default" w:ascii="Arial" w:hAnsi="Arial" w:eastAsia="Arial" w:cs="Arial"/>
          <w:b/>
          <w:i w:val="0"/>
          <w:caps w:val="0"/>
          <w:color w:val="191919"/>
          <w:spacing w:val="0"/>
          <w:sz w:val="22"/>
          <w:szCs w:val="22"/>
          <w:shd w:val="clear" w:fill="FFFFFF"/>
        </w:rPr>
      </w:pPr>
      <w:r>
        <w:rPr>
          <w:rFonts w:hint="default" w:ascii="Arial" w:hAnsi="Arial" w:eastAsia="Arial" w:cs="Arial"/>
          <w:b/>
          <w:i w:val="0"/>
          <w:caps w:val="0"/>
          <w:color w:val="191919"/>
          <w:spacing w:val="0"/>
          <w:sz w:val="22"/>
          <w:szCs w:val="22"/>
          <w:shd w:val="clear" w:fill="FFFFFF"/>
        </w:rPr>
        <w:t>潍坊加易加生物科技【优秀会员企业展示】</w:t>
      </w:r>
    </w:p>
    <w:p>
      <w:pPr>
        <w:numPr>
          <w:ilvl w:val="0"/>
          <w:numId w:val="0"/>
        </w:numPr>
        <w:rPr>
          <w:rFonts w:hint="default" w:ascii="Arial" w:hAnsi="Arial" w:eastAsia="Arial" w:cs="Arial"/>
          <w:i w:val="0"/>
          <w:caps w:val="0"/>
          <w:color w:val="191919"/>
          <w:spacing w:val="0"/>
          <w:sz w:val="22"/>
          <w:szCs w:val="22"/>
          <w:shd w:val="clear" w:fill="FFFFFF"/>
        </w:rPr>
      </w:pPr>
      <w:r>
        <w:rPr>
          <w:rFonts w:hint="eastAsia" w:ascii="Arial" w:hAnsi="Arial" w:eastAsia="Arial" w:cs="Arial"/>
          <w:i w:val="0"/>
          <w:caps w:val="0"/>
          <w:color w:val="191919"/>
          <w:spacing w:val="0"/>
          <w:sz w:val="22"/>
          <w:szCs w:val="22"/>
          <w:shd w:val="clear" w:fill="FFFFFF"/>
        </w:rPr>
        <w:t>潍坊加易加生物科技有限公司始创于2004年，现已发展成为集精细化工合成（鸿鸣精细化工）、无抗添加剂研发与生产（加易加科技）、外贸进出口于一体的综合型集团化公司。公司拥有</w:t>
      </w:r>
      <w:r>
        <w:rPr>
          <w:rFonts w:hint="default" w:ascii="Arial" w:hAnsi="Arial" w:eastAsia="Arial" w:cs="Arial"/>
          <w:i w:val="0"/>
          <w:caps w:val="0"/>
          <w:color w:val="191919"/>
          <w:spacing w:val="0"/>
          <w:sz w:val="22"/>
          <w:szCs w:val="22"/>
          <w:shd w:val="clear" w:fill="FFFFFF"/>
        </w:rPr>
        <w:t>ISO9001:2008国际质量管理体系认证下的精细化工产业园、添加剂预混合工厂、省级重点工程技术研发中心，致力于绿色无抗饲料添加剂的研发与生产，具有从原料到技术的核心优势，在行业内树立了良好的知名度和美誉度。公司与国内外多家科研院所建立了长期技术研发合作，为中国科学院亚热带生态研究所在酸化剂领域的行业标准的推广验证中心，为中国绿色无抗养殖产业倡导者、“中国饲用抗生素替代品产业创新战略联盟”理事单位与“中国绿色酸工程”启动者。2016年液体酸化剂产销量9000吨，产品遍布全国各地并出口至全球多个国家，为无抗养殖添加剂领域做出突出贡献，在业内树立了良好的口碑。</w:t>
      </w:r>
    </w:p>
    <w:p>
      <w:pPr>
        <w:numPr>
          <w:ilvl w:val="0"/>
          <w:numId w:val="0"/>
        </w:numPr>
        <w:rPr>
          <w:rFonts w:hint="eastAsia" w:ascii="Arial" w:hAnsi="Arial" w:eastAsia="Arial" w:cs="Arial"/>
          <w:i w:val="0"/>
          <w:caps w:val="0"/>
          <w:color w:val="191919"/>
          <w:spacing w:val="0"/>
          <w:sz w:val="24"/>
          <w:szCs w:val="24"/>
          <w:shd w:val="clear" w:fill="FFFFFF"/>
        </w:rPr>
      </w:pPr>
      <w:r>
        <w:drawing>
          <wp:inline distT="0" distB="0" distL="114300" distR="114300">
            <wp:extent cx="4381500" cy="7242175"/>
            <wp:effectExtent l="0" t="0" r="0"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4381500" cy="7242175"/>
                    </a:xfrm>
                    <a:prstGeom prst="rect">
                      <a:avLst/>
                    </a:prstGeom>
                    <a:noFill/>
                    <a:ln>
                      <a:noFill/>
                    </a:ln>
                  </pic:spPr>
                </pic:pic>
              </a:graphicData>
            </a:graphic>
          </wp:inline>
        </w:drawing>
      </w:r>
    </w:p>
    <w:p>
      <w:pPr>
        <w:numPr>
          <w:ilvl w:val="0"/>
          <w:numId w:val="0"/>
        </w:numPr>
        <w:ind w:left="420" w:leftChars="0"/>
        <w:jc w:val="both"/>
        <w:rPr>
          <w:rFonts w:hint="eastAsia"/>
          <w:lang w:val="en-US" w:eastAsia="zh-CN"/>
        </w:rPr>
      </w:pPr>
    </w:p>
    <w:p>
      <w:pPr>
        <w:numPr>
          <w:ilvl w:val="0"/>
          <w:numId w:val="5"/>
        </w:numPr>
        <w:ind w:left="420" w:leftChars="0" w:firstLine="0" w:firstLineChars="0"/>
        <w:jc w:val="both"/>
        <w:rPr>
          <w:rFonts w:hint="default"/>
          <w:lang w:val="en-US" w:eastAsia="zh-CN"/>
        </w:rPr>
      </w:pPr>
      <w:r>
        <w:rPr>
          <w:rFonts w:hint="eastAsia"/>
          <w:lang w:val="en-US" w:eastAsia="zh-CN"/>
        </w:rPr>
        <w:t>名人访谈（图片、文字、视频等方式展现）</w:t>
      </w:r>
    </w:p>
    <w:p>
      <w:pPr>
        <w:widowControl w:val="0"/>
        <w:numPr>
          <w:numId w:val="0"/>
        </w:numPr>
        <w:jc w:val="both"/>
        <w:rPr>
          <w:rFonts w:hint="eastAsia"/>
          <w:lang w:val="en-US" w:eastAsia="zh-CN"/>
        </w:rPr>
      </w:pPr>
    </w:p>
    <w:p>
      <w:pPr>
        <w:widowControl w:val="0"/>
        <w:numPr>
          <w:numId w:val="0"/>
        </w:numPr>
        <w:jc w:val="both"/>
        <w:rPr>
          <w:rFonts w:hint="eastAsia"/>
          <w:lang w:val="en-US" w:eastAsia="zh-CN"/>
        </w:rPr>
      </w:pPr>
      <w:r>
        <w:rPr>
          <w:rFonts w:hint="eastAsia"/>
          <w:lang w:val="en-US" w:eastAsia="zh-CN"/>
        </w:rPr>
        <w:drawing>
          <wp:inline distT="0" distB="0" distL="114300" distR="114300">
            <wp:extent cx="5274310" cy="3505200"/>
            <wp:effectExtent l="0" t="0" r="2540" b="0"/>
            <wp:docPr id="12" name="图片 12" descr="8fe26971ffa66fac5c9f747042cc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fe26971ffa66fac5c9f747042cc1eb"/>
                    <pic:cNvPicPr>
                      <a:picLocks noChangeAspect="1"/>
                    </pic:cNvPicPr>
                  </pic:nvPicPr>
                  <pic:blipFill>
                    <a:blip r:embed="rId6"/>
                    <a:stretch>
                      <a:fillRect/>
                    </a:stretch>
                  </pic:blipFill>
                  <pic:spPr>
                    <a:xfrm>
                      <a:off x="0" y="0"/>
                      <a:ext cx="5274310" cy="3505200"/>
                    </a:xfrm>
                    <a:prstGeom prst="rect">
                      <a:avLst/>
                    </a:prstGeom>
                  </pic:spPr>
                </pic:pic>
              </a:graphicData>
            </a:graphic>
          </wp:inline>
        </w:drawing>
      </w:r>
    </w:p>
    <w:p>
      <w:pPr>
        <w:widowControl w:val="0"/>
        <w:numPr>
          <w:numId w:val="0"/>
        </w:numPr>
        <w:jc w:val="both"/>
        <w:rPr>
          <w:rFonts w:hint="eastAsia"/>
          <w:lang w:val="en-US" w:eastAsia="zh-CN"/>
        </w:rPr>
      </w:pPr>
    </w:p>
    <w:p>
      <w:pPr>
        <w:widowControl w:val="0"/>
        <w:numPr>
          <w:numId w:val="0"/>
        </w:numPr>
        <w:jc w:val="both"/>
        <w:rPr>
          <w:rFonts w:hint="eastAsia"/>
          <w:color w:val="FF0000"/>
          <w:lang w:val="en-US" w:eastAsia="zh-CN"/>
        </w:rPr>
      </w:pPr>
      <w:r>
        <w:rPr>
          <w:rFonts w:hint="eastAsia"/>
          <w:color w:val="FF0000"/>
          <w:lang w:val="en-US" w:eastAsia="zh-CN"/>
        </w:rPr>
        <w:t>企业与名人访谈，可以滚动播放</w:t>
      </w:r>
    </w:p>
    <w:p>
      <w:pPr>
        <w:widowControl w:val="0"/>
        <w:numPr>
          <w:numId w:val="0"/>
        </w:numPr>
        <w:jc w:val="both"/>
        <w:rPr>
          <w:rFonts w:hint="eastAsia"/>
          <w:lang w:val="en-US" w:eastAsia="zh-CN"/>
        </w:rPr>
      </w:pPr>
    </w:p>
    <w:p>
      <w:pPr>
        <w:widowControl w:val="0"/>
        <w:numPr>
          <w:numId w:val="0"/>
        </w:numPr>
        <w:jc w:val="both"/>
        <w:rPr>
          <w:rFonts w:hint="eastAsia"/>
          <w:lang w:val="en-US" w:eastAsia="zh-CN"/>
        </w:rPr>
      </w:pPr>
    </w:p>
    <w:p>
      <w:pPr>
        <w:widowControl w:val="0"/>
        <w:numPr>
          <w:numId w:val="0"/>
        </w:numPr>
        <w:jc w:val="both"/>
        <w:rPr>
          <w:rFonts w:hint="eastAsia"/>
          <w:lang w:val="en-US" w:eastAsia="zh-CN"/>
        </w:rPr>
      </w:pPr>
    </w:p>
    <w:p>
      <w:pPr>
        <w:widowControl w:val="0"/>
        <w:numPr>
          <w:numId w:val="0"/>
        </w:numPr>
        <w:jc w:val="both"/>
        <w:rPr>
          <w:rFonts w:hint="eastAsia"/>
          <w:lang w:val="en-US" w:eastAsia="zh-CN"/>
        </w:rPr>
      </w:pPr>
      <w:bookmarkStart w:id="0" w:name="_GoBack"/>
      <w:bookmarkEnd w:id="0"/>
    </w:p>
    <w:p>
      <w:pPr>
        <w:widowControl w:val="0"/>
        <w:numPr>
          <w:numId w:val="0"/>
        </w:numPr>
        <w:jc w:val="both"/>
        <w:rPr>
          <w:rFonts w:hint="eastAsia"/>
          <w:lang w:val="en-US" w:eastAsia="zh-CN"/>
        </w:rPr>
      </w:pPr>
    </w:p>
    <w:p>
      <w:pPr>
        <w:widowControl w:val="0"/>
        <w:numPr>
          <w:numId w:val="0"/>
        </w:numPr>
        <w:jc w:val="both"/>
        <w:rPr>
          <w:rFonts w:hint="default"/>
          <w:lang w:val="en-US" w:eastAsia="zh-CN"/>
        </w:rPr>
      </w:pPr>
    </w:p>
    <w:p>
      <w:pPr>
        <w:numPr>
          <w:ilvl w:val="0"/>
          <w:numId w:val="0"/>
        </w:numPr>
        <w:jc w:val="both"/>
        <w:rPr>
          <w:rFonts w:hint="default"/>
          <w:lang w:val="en-US" w:eastAsia="zh-CN"/>
        </w:rPr>
      </w:pPr>
      <w:r>
        <w:rPr>
          <w:rFonts w:hint="eastAsia"/>
          <w:lang w:val="en-US" w:eastAsia="zh-CN"/>
        </w:rPr>
        <w:t>四、金融服务</w:t>
      </w:r>
    </w:p>
    <w:p>
      <w:pPr>
        <w:numPr>
          <w:ilvl w:val="0"/>
          <w:numId w:val="0"/>
        </w:numPr>
        <w:rPr>
          <w:rFonts w:hint="eastAsia"/>
          <w:lang w:val="en-US" w:eastAsia="zh-CN"/>
        </w:rPr>
      </w:pPr>
      <w:r>
        <w:rPr>
          <w:rFonts w:hint="eastAsia"/>
          <w:lang w:val="en-US" w:eastAsia="zh-CN"/>
        </w:rPr>
        <w:t xml:space="preserve">   通知公告</w:t>
      </w:r>
    </w:p>
    <w:p>
      <w:pPr>
        <w:numPr>
          <w:ilvl w:val="0"/>
          <w:numId w:val="0"/>
        </w:numPr>
        <w:rPr>
          <w:rFonts w:hint="default"/>
          <w:lang w:val="en-US" w:eastAsia="zh-CN"/>
        </w:rPr>
      </w:pPr>
      <w:r>
        <w:rPr>
          <w:rFonts w:hint="eastAsia"/>
          <w:lang w:val="en-US" w:eastAsia="zh-CN"/>
        </w:rPr>
        <w:t xml:space="preserve">   最新动态</w:t>
      </w:r>
    </w:p>
    <w:p>
      <w:pPr>
        <w:numPr>
          <w:ilvl w:val="0"/>
          <w:numId w:val="0"/>
        </w:numPr>
        <w:rPr>
          <w:rFonts w:hint="default"/>
          <w:lang w:val="en-US" w:eastAsia="zh-CN"/>
        </w:rPr>
      </w:pPr>
      <w:r>
        <w:rPr>
          <w:rFonts w:hint="eastAsia"/>
          <w:lang w:val="en-US" w:eastAsia="zh-CN"/>
        </w:rPr>
        <w:t xml:space="preserve">   项目对接 （文字、图片）</w:t>
      </w:r>
    </w:p>
    <w:p>
      <w:pPr>
        <w:numPr>
          <w:ilvl w:val="0"/>
          <w:numId w:val="7"/>
        </w:numPr>
        <w:rPr>
          <w:rFonts w:hint="eastAsia"/>
          <w:lang w:val="en-US" w:eastAsia="zh-CN"/>
        </w:rPr>
      </w:pPr>
      <w:r>
        <w:rPr>
          <w:rFonts w:hint="eastAsia"/>
          <w:lang w:val="en-US" w:eastAsia="zh-CN"/>
        </w:rPr>
        <w:t>知识产权服务</w:t>
      </w:r>
    </w:p>
    <w:p>
      <w:pPr>
        <w:numPr>
          <w:ilvl w:val="0"/>
          <w:numId w:val="8"/>
        </w:numPr>
        <w:ind w:left="315" w:leftChars="0" w:firstLine="0" w:firstLineChars="0"/>
        <w:rPr>
          <w:rFonts w:hint="eastAsia"/>
          <w:lang w:val="en-US" w:eastAsia="zh-CN"/>
        </w:rPr>
      </w:pPr>
      <w:r>
        <w:rPr>
          <w:rFonts w:hint="eastAsia"/>
          <w:lang w:val="en-US" w:eastAsia="zh-CN"/>
        </w:rPr>
        <w:t>通知公告</w:t>
      </w:r>
    </w:p>
    <w:p>
      <w:pPr>
        <w:numPr>
          <w:ilvl w:val="0"/>
          <w:numId w:val="8"/>
        </w:numPr>
        <w:ind w:left="315" w:leftChars="0" w:firstLine="0" w:firstLineChars="0"/>
        <w:rPr>
          <w:rFonts w:hint="default"/>
          <w:lang w:val="en-US" w:eastAsia="zh-CN"/>
        </w:rPr>
      </w:pPr>
      <w:r>
        <w:rPr>
          <w:rFonts w:hint="eastAsia"/>
          <w:lang w:val="en-US" w:eastAsia="zh-CN"/>
        </w:rPr>
        <w:t>企业沙龙</w:t>
      </w:r>
    </w:p>
    <w:p>
      <w:pPr>
        <w:numPr>
          <w:ilvl w:val="0"/>
          <w:numId w:val="8"/>
        </w:numPr>
        <w:ind w:left="315" w:leftChars="0" w:firstLine="0" w:firstLineChars="0"/>
        <w:rPr>
          <w:rFonts w:hint="default"/>
          <w:lang w:val="en-US" w:eastAsia="zh-CN"/>
        </w:rPr>
      </w:pPr>
      <w:r>
        <w:rPr>
          <w:rFonts w:hint="eastAsia"/>
          <w:lang w:val="en-US" w:eastAsia="zh-CN"/>
        </w:rPr>
        <w:t>知识产权培训</w:t>
      </w:r>
    </w:p>
    <w:p>
      <w:pPr>
        <w:numPr>
          <w:ilvl w:val="0"/>
          <w:numId w:val="0"/>
        </w:numPr>
        <w:ind w:left="315" w:leftChars="0"/>
        <w:rPr>
          <w:rFonts w:hint="default"/>
          <w:lang w:val="en-US" w:eastAsia="zh-CN"/>
        </w:rPr>
      </w:pPr>
    </w:p>
    <w:p>
      <w:pPr>
        <w:numPr>
          <w:ilvl w:val="0"/>
          <w:numId w:val="8"/>
        </w:numPr>
        <w:ind w:left="315" w:leftChars="0" w:firstLine="0" w:firstLineChars="0"/>
        <w:rPr>
          <w:rFonts w:hint="default"/>
          <w:lang w:val="en-US" w:eastAsia="zh-CN"/>
        </w:rPr>
      </w:pPr>
      <w:r>
        <w:rPr>
          <w:rFonts w:hint="eastAsia"/>
          <w:lang w:val="en-US" w:eastAsia="zh-CN"/>
        </w:rPr>
        <w:t>知识产权维权（内容图标更换）</w:t>
      </w:r>
    </w:p>
    <w:p>
      <w:pPr>
        <w:numPr>
          <w:ilvl w:val="0"/>
          <w:numId w:val="0"/>
        </w:numPr>
        <w:ind w:left="315" w:leftChars="0"/>
        <w:rPr>
          <w:rFonts w:hint="default"/>
          <w:lang w:val="en-US" w:eastAsia="zh-CN"/>
        </w:rPr>
      </w:pPr>
      <w:r>
        <w:drawing>
          <wp:inline distT="0" distB="0" distL="114300" distR="114300">
            <wp:extent cx="2089785" cy="759460"/>
            <wp:effectExtent l="0" t="0" r="571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2089785" cy="759460"/>
                    </a:xfrm>
                    <a:prstGeom prst="rect">
                      <a:avLst/>
                    </a:prstGeom>
                    <a:noFill/>
                    <a:ln>
                      <a:noFill/>
                    </a:ln>
                  </pic:spPr>
                </pic:pic>
              </a:graphicData>
            </a:graphic>
          </wp:inline>
        </w:drawing>
      </w:r>
    </w:p>
    <w:p>
      <w:pPr>
        <w:numPr>
          <w:ilvl w:val="0"/>
          <w:numId w:val="0"/>
        </w:numPr>
        <w:ind w:left="315" w:leftChars="0"/>
        <w:rPr>
          <w:rFonts w:hint="default"/>
          <w:lang w:val="en-US" w:eastAsia="zh-CN"/>
        </w:rPr>
      </w:pPr>
      <w:r>
        <w:drawing>
          <wp:inline distT="0" distB="0" distL="114300" distR="114300">
            <wp:extent cx="2491105" cy="1214755"/>
            <wp:effectExtent l="0" t="0" r="4445"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2491105" cy="1214755"/>
                    </a:xfrm>
                    <a:prstGeom prst="rect">
                      <a:avLst/>
                    </a:prstGeom>
                    <a:noFill/>
                    <a:ln>
                      <a:noFill/>
                    </a:ln>
                  </pic:spPr>
                </pic:pic>
              </a:graphicData>
            </a:graphic>
          </wp:inline>
        </w:drawing>
      </w:r>
    </w:p>
    <w:p>
      <w:pPr>
        <w:numPr>
          <w:ilvl w:val="0"/>
          <w:numId w:val="8"/>
        </w:numPr>
        <w:ind w:left="315" w:leftChars="0" w:firstLine="0" w:firstLineChars="0"/>
        <w:rPr>
          <w:rFonts w:hint="default"/>
          <w:lang w:val="en-US" w:eastAsia="zh-CN"/>
        </w:rPr>
      </w:pPr>
      <w:r>
        <w:rPr>
          <w:rFonts w:hint="eastAsia"/>
          <w:lang w:val="en-US" w:eastAsia="zh-CN"/>
        </w:rPr>
        <w:t>案例共享</w:t>
      </w:r>
    </w:p>
    <w:p>
      <w:pPr>
        <w:numPr>
          <w:ilvl w:val="0"/>
          <w:numId w:val="7"/>
        </w:numPr>
        <w:ind w:left="0" w:leftChars="0" w:firstLine="0" w:firstLineChars="0"/>
        <w:rPr>
          <w:rFonts w:hint="eastAsia"/>
          <w:lang w:val="en-US" w:eastAsia="zh-CN"/>
        </w:rPr>
      </w:pPr>
      <w:r>
        <w:rPr>
          <w:rFonts w:hint="eastAsia"/>
          <w:lang w:val="en-US" w:eastAsia="zh-CN"/>
        </w:rPr>
        <w:t>法律服务（12、3、45）</w:t>
      </w:r>
    </w:p>
    <w:p>
      <w:pPr>
        <w:numPr>
          <w:ilvl w:val="0"/>
          <w:numId w:val="9"/>
        </w:numPr>
        <w:ind w:left="315" w:leftChars="0" w:firstLine="0" w:firstLineChars="0"/>
        <w:rPr>
          <w:rFonts w:hint="eastAsia"/>
          <w:lang w:val="en-US" w:eastAsia="zh-CN"/>
        </w:rPr>
      </w:pPr>
      <w:r>
        <w:rPr>
          <w:rFonts w:hint="eastAsia"/>
          <w:lang w:val="en-US" w:eastAsia="zh-CN"/>
        </w:rPr>
        <w:t>通知公告</w:t>
      </w:r>
    </w:p>
    <w:p>
      <w:pPr>
        <w:numPr>
          <w:ilvl w:val="0"/>
          <w:numId w:val="9"/>
        </w:numPr>
        <w:ind w:left="315" w:leftChars="0" w:firstLine="0" w:firstLineChars="0"/>
        <w:rPr>
          <w:rFonts w:hint="eastAsia"/>
          <w:lang w:val="en-US" w:eastAsia="zh-CN"/>
        </w:rPr>
      </w:pPr>
      <w:r>
        <w:rPr>
          <w:rFonts w:hint="eastAsia"/>
          <w:lang w:val="en-US" w:eastAsia="zh-CN"/>
        </w:rPr>
        <w:t>法律讲座（文字、图形）</w:t>
      </w:r>
    </w:p>
    <w:p>
      <w:pPr>
        <w:numPr>
          <w:ilvl w:val="0"/>
          <w:numId w:val="0"/>
        </w:numPr>
        <w:ind w:left="315" w:leftChars="0"/>
        <w:rPr>
          <w:rFonts w:hint="default"/>
          <w:lang w:val="en-US" w:eastAsia="zh-CN"/>
        </w:rPr>
      </w:pPr>
    </w:p>
    <w:p>
      <w:pPr>
        <w:numPr>
          <w:ilvl w:val="0"/>
          <w:numId w:val="0"/>
        </w:numPr>
        <w:ind w:left="315" w:leftChars="0"/>
        <w:rPr>
          <w:rFonts w:hint="eastAsia"/>
          <w:lang w:val="en-US" w:eastAsia="zh-CN"/>
        </w:rPr>
      </w:pPr>
      <w:r>
        <w:rPr>
          <w:rFonts w:hint="eastAsia"/>
          <w:lang w:val="en-US" w:eastAsia="zh-CN"/>
        </w:rPr>
        <w:t>3、法律顾问（图片更换，价格删掉）</w:t>
      </w:r>
    </w:p>
    <w:p>
      <w:pPr>
        <w:numPr>
          <w:ilvl w:val="0"/>
          <w:numId w:val="0"/>
        </w:numPr>
        <w:ind w:left="315" w:leftChars="0"/>
      </w:pPr>
      <w:r>
        <w:drawing>
          <wp:inline distT="0" distB="0" distL="114300" distR="114300">
            <wp:extent cx="3687445" cy="1340485"/>
            <wp:effectExtent l="0" t="0" r="825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687445" cy="1340485"/>
                    </a:xfrm>
                    <a:prstGeom prst="rect">
                      <a:avLst/>
                    </a:prstGeom>
                    <a:noFill/>
                    <a:ln>
                      <a:noFill/>
                    </a:ln>
                  </pic:spPr>
                </pic:pic>
              </a:graphicData>
            </a:graphic>
          </wp:inline>
        </w:drawing>
      </w:r>
    </w:p>
    <w:p>
      <w:pPr>
        <w:numPr>
          <w:ilvl w:val="0"/>
          <w:numId w:val="0"/>
        </w:numPr>
        <w:ind w:left="315" w:leftChars="0"/>
      </w:pPr>
      <w:r>
        <w:drawing>
          <wp:inline distT="0" distB="0" distL="114300" distR="114300">
            <wp:extent cx="5899785" cy="2273300"/>
            <wp:effectExtent l="0" t="0" r="571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899785" cy="2273300"/>
                    </a:xfrm>
                    <a:prstGeom prst="rect">
                      <a:avLst/>
                    </a:prstGeom>
                    <a:noFill/>
                    <a:ln>
                      <a:noFill/>
                    </a:ln>
                  </pic:spPr>
                </pic:pic>
              </a:graphicData>
            </a:graphic>
          </wp:inline>
        </w:drawing>
      </w:r>
    </w:p>
    <w:p>
      <w:pPr>
        <w:numPr>
          <w:ilvl w:val="0"/>
          <w:numId w:val="0"/>
        </w:numPr>
        <w:ind w:left="315" w:leftChars="0"/>
      </w:pPr>
      <w:r>
        <w:drawing>
          <wp:inline distT="0" distB="0" distL="114300" distR="114300">
            <wp:extent cx="6260465" cy="2635250"/>
            <wp:effectExtent l="0" t="0" r="698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6260465" cy="2635250"/>
                    </a:xfrm>
                    <a:prstGeom prst="rect">
                      <a:avLst/>
                    </a:prstGeom>
                    <a:noFill/>
                    <a:ln>
                      <a:noFill/>
                    </a:ln>
                  </pic:spPr>
                </pic:pic>
              </a:graphicData>
            </a:graphic>
          </wp:inline>
        </w:drawing>
      </w:r>
    </w:p>
    <w:p>
      <w:pPr>
        <w:numPr>
          <w:ilvl w:val="0"/>
          <w:numId w:val="0"/>
        </w:numPr>
        <w:ind w:left="315" w:leftChars="0"/>
        <w:rPr>
          <w:rFonts w:hint="eastAsia"/>
          <w:lang w:val="en-US" w:eastAsia="zh-CN"/>
        </w:rPr>
      </w:pPr>
      <w:r>
        <w:drawing>
          <wp:inline distT="0" distB="0" distL="114300" distR="114300">
            <wp:extent cx="6101080" cy="2425065"/>
            <wp:effectExtent l="0" t="0" r="1397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6101080" cy="2425065"/>
                    </a:xfrm>
                    <a:prstGeom prst="rect">
                      <a:avLst/>
                    </a:prstGeom>
                    <a:noFill/>
                    <a:ln>
                      <a:noFill/>
                    </a:ln>
                  </pic:spPr>
                </pic:pic>
              </a:graphicData>
            </a:graphic>
          </wp:inline>
        </w:drawing>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r>
        <w:rPr>
          <w:rFonts w:hint="eastAsia"/>
          <w:lang w:val="en-US" w:eastAsia="zh-CN"/>
        </w:rPr>
        <w:t>4、法律诉讼</w:t>
      </w:r>
    </w:p>
    <w:p>
      <w:pPr>
        <w:numPr>
          <w:ilvl w:val="0"/>
          <w:numId w:val="0"/>
        </w:numPr>
        <w:ind w:left="315" w:leftChars="0"/>
      </w:pPr>
      <w:r>
        <w:drawing>
          <wp:inline distT="0" distB="0" distL="114300" distR="114300">
            <wp:extent cx="5708650" cy="1530985"/>
            <wp:effectExtent l="0" t="0" r="635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708650" cy="1530985"/>
                    </a:xfrm>
                    <a:prstGeom prst="rect">
                      <a:avLst/>
                    </a:prstGeom>
                    <a:noFill/>
                    <a:ln>
                      <a:noFill/>
                    </a:ln>
                  </pic:spPr>
                </pic:pic>
              </a:graphicData>
            </a:graphic>
          </wp:inline>
        </w:drawing>
      </w:r>
    </w:p>
    <w:p>
      <w:pPr>
        <w:numPr>
          <w:ilvl w:val="0"/>
          <w:numId w:val="0"/>
        </w:numPr>
        <w:ind w:left="315" w:leftChars="0"/>
      </w:pPr>
      <w:r>
        <w:drawing>
          <wp:inline distT="0" distB="0" distL="114300" distR="114300">
            <wp:extent cx="5774690" cy="1515745"/>
            <wp:effectExtent l="0" t="0" r="1651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774690" cy="1515745"/>
                    </a:xfrm>
                    <a:prstGeom prst="rect">
                      <a:avLst/>
                    </a:prstGeom>
                    <a:noFill/>
                    <a:ln>
                      <a:noFill/>
                    </a:ln>
                  </pic:spPr>
                </pic:pic>
              </a:graphicData>
            </a:graphic>
          </wp:inline>
        </w:drawing>
      </w:r>
    </w:p>
    <w:p>
      <w:pPr>
        <w:numPr>
          <w:ilvl w:val="0"/>
          <w:numId w:val="0"/>
        </w:numPr>
        <w:ind w:left="315" w:leftChars="0"/>
      </w:pPr>
      <w:r>
        <w:drawing>
          <wp:inline distT="0" distB="0" distL="114300" distR="114300">
            <wp:extent cx="5735320" cy="1518285"/>
            <wp:effectExtent l="0" t="0" r="1778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735320" cy="1518285"/>
                    </a:xfrm>
                    <a:prstGeom prst="rect">
                      <a:avLst/>
                    </a:prstGeom>
                    <a:noFill/>
                    <a:ln>
                      <a:noFill/>
                    </a:ln>
                  </pic:spPr>
                </pic:pic>
              </a:graphicData>
            </a:graphic>
          </wp:inline>
        </w:drawing>
      </w:r>
    </w:p>
    <w:p>
      <w:pPr>
        <w:numPr>
          <w:ilvl w:val="0"/>
          <w:numId w:val="0"/>
        </w:numPr>
        <w:rPr>
          <w:rFonts w:hint="default"/>
          <w:lang w:val="en-US" w:eastAsia="zh-CN"/>
        </w:rPr>
      </w:pPr>
      <w:r>
        <w:rPr>
          <w:rFonts w:hint="eastAsia" w:ascii="宋体" w:hAnsi="宋体" w:eastAsia="宋体" w:cs="宋体"/>
          <w:b/>
          <w:bCs/>
          <w:color w:val="C00000"/>
          <w:sz w:val="24"/>
          <w:szCs w:val="24"/>
          <w:lang w:val="en-US" w:eastAsia="zh-CN"/>
        </w:rPr>
        <w:t>参考网站：</w:t>
      </w:r>
      <w:r>
        <w:rPr>
          <w:rFonts w:ascii="宋体" w:hAnsi="宋体" w:eastAsia="宋体" w:cs="宋体"/>
          <w:b/>
          <w:bCs/>
          <w:color w:val="C00000"/>
          <w:sz w:val="24"/>
          <w:szCs w:val="24"/>
        </w:rPr>
        <w:fldChar w:fldCharType="begin"/>
      </w:r>
      <w:r>
        <w:rPr>
          <w:rFonts w:ascii="宋体" w:hAnsi="宋体" w:eastAsia="宋体" w:cs="宋体"/>
          <w:b/>
          <w:bCs/>
          <w:color w:val="C00000"/>
          <w:sz w:val="24"/>
          <w:szCs w:val="24"/>
        </w:rPr>
        <w:instrText xml:space="preserve"> HYPERLINK "http://m.km-lawyer.com/" </w:instrText>
      </w:r>
      <w:r>
        <w:rPr>
          <w:rFonts w:ascii="宋体" w:hAnsi="宋体" w:eastAsia="宋体" w:cs="宋体"/>
          <w:b/>
          <w:bCs/>
          <w:color w:val="C00000"/>
          <w:sz w:val="24"/>
          <w:szCs w:val="24"/>
        </w:rPr>
        <w:fldChar w:fldCharType="separate"/>
      </w:r>
      <w:r>
        <w:rPr>
          <w:rStyle w:val="7"/>
          <w:rFonts w:ascii="宋体" w:hAnsi="宋体" w:eastAsia="宋体" w:cs="宋体"/>
          <w:b/>
          <w:bCs/>
          <w:color w:val="C00000"/>
          <w:sz w:val="24"/>
          <w:szCs w:val="24"/>
        </w:rPr>
        <w:t>http://m.km-lawyer.com/</w:t>
      </w:r>
      <w:r>
        <w:rPr>
          <w:rFonts w:ascii="宋体" w:hAnsi="宋体" w:eastAsia="宋体" w:cs="宋体"/>
          <w:b/>
          <w:bCs/>
          <w:color w:val="C00000"/>
          <w:sz w:val="24"/>
          <w:szCs w:val="24"/>
        </w:rPr>
        <w:fldChar w:fldCharType="end"/>
      </w:r>
    </w:p>
    <w:p>
      <w:pPr>
        <w:numPr>
          <w:ilvl w:val="0"/>
          <w:numId w:val="0"/>
        </w:numPr>
        <w:ind w:left="315" w:leftChars="0"/>
        <w:rPr>
          <w:rFonts w:hint="eastAsia"/>
          <w:lang w:val="en-US" w:eastAsia="zh-CN"/>
        </w:rPr>
      </w:pPr>
      <w:r>
        <w:rPr>
          <w:rFonts w:hint="eastAsia"/>
          <w:lang w:val="en-US" w:eastAsia="zh-CN"/>
        </w:rPr>
        <w:t>5、法律知识</w:t>
      </w:r>
    </w:p>
    <w:p>
      <w:pPr>
        <w:numPr>
          <w:ilvl w:val="0"/>
          <w:numId w:val="0"/>
        </w:numPr>
        <w:ind w:left="315" w:leftChars="0"/>
        <w:rPr>
          <w:rFonts w:hint="eastAsia"/>
          <w:lang w:val="en-US" w:eastAsia="zh-CN"/>
        </w:rPr>
      </w:pPr>
    </w:p>
    <w:p>
      <w:pPr>
        <w:numPr>
          <w:ilvl w:val="0"/>
          <w:numId w:val="7"/>
        </w:numPr>
        <w:ind w:left="0" w:leftChars="0" w:firstLine="0" w:firstLineChars="0"/>
        <w:rPr>
          <w:rFonts w:hint="eastAsia"/>
          <w:lang w:val="en-US" w:eastAsia="zh-CN"/>
        </w:rPr>
      </w:pPr>
      <w:r>
        <w:rPr>
          <w:rFonts w:hint="eastAsia"/>
          <w:lang w:val="en-US" w:eastAsia="zh-CN"/>
        </w:rPr>
        <w:t>企业家年会</w:t>
      </w:r>
    </w:p>
    <w:p>
      <w:pPr>
        <w:numPr>
          <w:ilvl w:val="0"/>
          <w:numId w:val="10"/>
        </w:numPr>
        <w:ind w:leftChars="0" w:firstLine="420"/>
        <w:rPr>
          <w:rFonts w:hint="eastAsia"/>
          <w:lang w:val="en-US" w:eastAsia="zh-CN"/>
        </w:rPr>
      </w:pPr>
      <w:r>
        <w:rPr>
          <w:rFonts w:hint="eastAsia"/>
          <w:lang w:val="en-US" w:eastAsia="zh-CN"/>
        </w:rPr>
        <w:t>通知公告</w:t>
      </w:r>
    </w:p>
    <w:p>
      <w:pPr>
        <w:numPr>
          <w:ilvl w:val="0"/>
          <w:numId w:val="10"/>
        </w:numPr>
        <w:ind w:leftChars="0" w:firstLine="420"/>
        <w:rPr>
          <w:rFonts w:hint="eastAsia"/>
          <w:lang w:val="en-US" w:eastAsia="zh-CN"/>
        </w:rPr>
      </w:pPr>
      <w:r>
        <w:rPr>
          <w:rFonts w:hint="eastAsia"/>
          <w:lang w:val="en-US" w:eastAsia="zh-CN"/>
        </w:rPr>
        <w:t>报名通道（线上报名）</w:t>
      </w:r>
    </w:p>
    <w:p>
      <w:pPr>
        <w:numPr>
          <w:ilvl w:val="0"/>
          <w:numId w:val="0"/>
        </w:numPr>
        <w:ind w:leftChars="0" w:firstLine="420"/>
        <w:rPr>
          <w:rFonts w:hint="eastAsia"/>
          <w:lang w:val="en-US" w:eastAsia="zh-CN"/>
        </w:rPr>
      </w:pPr>
      <w:r>
        <w:rPr>
          <w:rFonts w:hint="eastAsia"/>
          <w:lang w:val="en-US" w:eastAsia="zh-CN"/>
        </w:rPr>
        <w:t>2、会议新闻</w:t>
      </w:r>
    </w:p>
    <w:p>
      <w:pPr>
        <w:numPr>
          <w:ilvl w:val="0"/>
          <w:numId w:val="0"/>
        </w:numPr>
        <w:rPr>
          <w:rFonts w:hint="default"/>
          <w:lang w:val="en-US" w:eastAsia="zh-CN"/>
        </w:rPr>
      </w:pPr>
      <w:r>
        <w:rPr>
          <w:rFonts w:hint="eastAsia"/>
          <w:lang w:val="en-US" w:eastAsia="zh-CN"/>
        </w:rPr>
        <w:t xml:space="preserve">    3、 访谈会（只展示图片，滚动样式，点击查看详情）</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9996B2"/>
    <w:multiLevelType w:val="singleLevel"/>
    <w:tmpl w:val="929996B2"/>
    <w:lvl w:ilvl="0" w:tentative="0">
      <w:start w:val="1"/>
      <w:numFmt w:val="decimal"/>
      <w:suff w:val="nothing"/>
      <w:lvlText w:val="%1、"/>
      <w:lvlJc w:val="left"/>
      <w:pPr>
        <w:ind w:left="420" w:leftChars="0" w:firstLine="0" w:firstLineChars="0"/>
      </w:pPr>
    </w:lvl>
  </w:abstractNum>
  <w:abstractNum w:abstractNumId="1">
    <w:nsid w:val="971DD3A3"/>
    <w:multiLevelType w:val="singleLevel"/>
    <w:tmpl w:val="971DD3A3"/>
    <w:lvl w:ilvl="0" w:tentative="0">
      <w:start w:val="1"/>
      <w:numFmt w:val="decimal"/>
      <w:suff w:val="nothing"/>
      <w:lvlText w:val="%1、"/>
      <w:lvlJc w:val="left"/>
      <w:pPr>
        <w:ind w:left="315" w:leftChars="0" w:firstLine="0" w:firstLineChars="0"/>
      </w:pPr>
    </w:lvl>
  </w:abstractNum>
  <w:abstractNum w:abstractNumId="2">
    <w:nsid w:val="B5610450"/>
    <w:multiLevelType w:val="singleLevel"/>
    <w:tmpl w:val="B5610450"/>
    <w:lvl w:ilvl="0" w:tentative="0">
      <w:start w:val="1"/>
      <w:numFmt w:val="decimal"/>
      <w:suff w:val="nothing"/>
      <w:lvlText w:val="%1、"/>
      <w:lvlJc w:val="left"/>
    </w:lvl>
  </w:abstractNum>
  <w:abstractNum w:abstractNumId="3">
    <w:nsid w:val="B5773739"/>
    <w:multiLevelType w:val="singleLevel"/>
    <w:tmpl w:val="B5773739"/>
    <w:lvl w:ilvl="0" w:tentative="0">
      <w:start w:val="1"/>
      <w:numFmt w:val="decimal"/>
      <w:suff w:val="nothing"/>
      <w:lvlText w:val="%1、"/>
      <w:lvlJc w:val="left"/>
      <w:pPr>
        <w:ind w:left="315" w:leftChars="0" w:firstLine="0" w:firstLineChars="0"/>
      </w:pPr>
    </w:lvl>
  </w:abstractNum>
  <w:abstractNum w:abstractNumId="4">
    <w:nsid w:val="F06EE588"/>
    <w:multiLevelType w:val="singleLevel"/>
    <w:tmpl w:val="F06EE588"/>
    <w:lvl w:ilvl="0" w:tentative="0">
      <w:start w:val="5"/>
      <w:numFmt w:val="chineseCounting"/>
      <w:suff w:val="nothing"/>
      <w:lvlText w:val="%1、"/>
      <w:lvlJc w:val="left"/>
      <w:rPr>
        <w:rFonts w:hint="eastAsia"/>
      </w:rPr>
    </w:lvl>
  </w:abstractNum>
  <w:abstractNum w:abstractNumId="5">
    <w:nsid w:val="F338C04C"/>
    <w:multiLevelType w:val="singleLevel"/>
    <w:tmpl w:val="F338C04C"/>
    <w:lvl w:ilvl="0" w:tentative="0">
      <w:start w:val="1"/>
      <w:numFmt w:val="decimal"/>
      <w:suff w:val="nothing"/>
      <w:lvlText w:val="%1、"/>
      <w:lvlJc w:val="left"/>
      <w:pPr>
        <w:ind w:left="420" w:leftChars="0" w:firstLine="0" w:firstLineChars="0"/>
      </w:pPr>
    </w:lvl>
  </w:abstractNum>
  <w:abstractNum w:abstractNumId="6">
    <w:nsid w:val="F3F9B8FD"/>
    <w:multiLevelType w:val="singleLevel"/>
    <w:tmpl w:val="F3F9B8FD"/>
    <w:lvl w:ilvl="0" w:tentative="0">
      <w:start w:val="1"/>
      <w:numFmt w:val="chineseCounting"/>
      <w:suff w:val="nothing"/>
      <w:lvlText w:val="%1、"/>
      <w:lvlJc w:val="left"/>
      <w:rPr>
        <w:rFonts w:hint="eastAsia"/>
      </w:rPr>
    </w:lvl>
  </w:abstractNum>
  <w:abstractNum w:abstractNumId="7">
    <w:nsid w:val="08CF6355"/>
    <w:multiLevelType w:val="singleLevel"/>
    <w:tmpl w:val="08CF6355"/>
    <w:lvl w:ilvl="0" w:tentative="0">
      <w:start w:val="1"/>
      <w:numFmt w:val="decimal"/>
      <w:suff w:val="nothing"/>
      <w:lvlText w:val="%1、"/>
      <w:lvlJc w:val="left"/>
    </w:lvl>
  </w:abstractNum>
  <w:abstractNum w:abstractNumId="8">
    <w:nsid w:val="17D7CBA2"/>
    <w:multiLevelType w:val="singleLevel"/>
    <w:tmpl w:val="17D7CBA2"/>
    <w:lvl w:ilvl="0" w:tentative="0">
      <w:start w:val="1"/>
      <w:numFmt w:val="decimal"/>
      <w:suff w:val="nothing"/>
      <w:lvlText w:val="（%1）"/>
      <w:lvlJc w:val="left"/>
    </w:lvl>
  </w:abstractNum>
  <w:abstractNum w:abstractNumId="9">
    <w:nsid w:val="4F152059"/>
    <w:multiLevelType w:val="singleLevel"/>
    <w:tmpl w:val="4F152059"/>
    <w:lvl w:ilvl="0" w:tentative="0">
      <w:start w:val="1"/>
      <w:numFmt w:val="decimal"/>
      <w:suff w:val="nothing"/>
      <w:lvlText w:val="%1、"/>
      <w:lvlJc w:val="left"/>
    </w:lvl>
  </w:abstractNum>
  <w:num w:numId="1">
    <w:abstractNumId w:val="6"/>
  </w:num>
  <w:num w:numId="2">
    <w:abstractNumId w:val="9"/>
  </w:num>
  <w:num w:numId="3">
    <w:abstractNumId w:val="8"/>
  </w:num>
  <w:num w:numId="4">
    <w:abstractNumId w:val="5"/>
  </w:num>
  <w:num w:numId="5">
    <w:abstractNumId w:val="0"/>
  </w:num>
  <w:num w:numId="6">
    <w:abstractNumId w:val="7"/>
  </w:num>
  <w:num w:numId="7">
    <w:abstractNumId w:val="4"/>
  </w:num>
  <w:num w:numId="8">
    <w:abstractNumId w:val="1"/>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1F45CD"/>
    <w:rsid w:val="15080556"/>
    <w:rsid w:val="16305974"/>
    <w:rsid w:val="1BCF1E2E"/>
    <w:rsid w:val="24542A78"/>
    <w:rsid w:val="27736379"/>
    <w:rsid w:val="28410C68"/>
    <w:rsid w:val="2CBC1DAC"/>
    <w:rsid w:val="2D984327"/>
    <w:rsid w:val="2F8E5352"/>
    <w:rsid w:val="37712F5B"/>
    <w:rsid w:val="3EAF51CB"/>
    <w:rsid w:val="51002CC0"/>
    <w:rsid w:val="53F97537"/>
    <w:rsid w:val="5947612F"/>
    <w:rsid w:val="5B29458D"/>
    <w:rsid w:val="615402F3"/>
    <w:rsid w:val="646E5DE8"/>
    <w:rsid w:val="67FB5ED2"/>
    <w:rsid w:val="6C0B1749"/>
    <w:rsid w:val="709220D9"/>
    <w:rsid w:val="72017C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60</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2021-10-14T07:43:00Z</dcterms:created>
  <dc:creator>Administrator.WIN-G5FAHL90DQQ</dc:creator>
  <cp:lastModifiedBy>A软件开发 王静17753860670</cp:lastModifiedBy>
  <dcterms:modified xsi:type="dcterms:W3CDTF">2021-10-19T02:57:24Z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4CFD02E8FB1449758DCAED906B56FD80</vt:lpwstr>
  </property>
</Properties>
</file>